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974" w:rsidRPr="007625BD" w:rsidRDefault="00193974" w:rsidP="00193974">
      <w:pPr>
        <w:jc w:val="both"/>
        <w:rPr>
          <w:rFonts w:cs="Arial"/>
        </w:rPr>
      </w:pPr>
      <w:bookmarkStart w:id="0" w:name="_GoBack"/>
      <w:bookmarkEnd w:id="0"/>
      <w:r w:rsidRPr="007625BD">
        <w:rPr>
          <w:rFonts w:cs="Arial"/>
        </w:rPr>
        <w:t>Equity &amp; Index Derivatives</w:t>
      </w:r>
      <w:r>
        <w:rPr>
          <w:rFonts w:cs="Arial"/>
        </w:rPr>
        <w:t>:</w:t>
      </w:r>
    </w:p>
    <w:p w:rsidR="00193974" w:rsidRPr="007625BD" w:rsidRDefault="00193974" w:rsidP="00193974">
      <w:pPr>
        <w:jc w:val="both"/>
        <w:rPr>
          <w:rFonts w:cs="Arial"/>
        </w:rPr>
      </w:pPr>
    </w:p>
    <w:p w:rsidR="00193974" w:rsidRPr="007625BD" w:rsidRDefault="00193974" w:rsidP="00193974">
      <w:pPr>
        <w:jc w:val="both"/>
        <w:rPr>
          <w:rFonts w:cs="Arial"/>
        </w:rPr>
      </w:pPr>
      <w:r w:rsidRPr="007625BD">
        <w:rPr>
          <w:rFonts w:cs="Arial"/>
        </w:rPr>
        <w:t xml:space="preserve">Gain leveraged exposure to a single equity or entire market or specific segments of the market through a single investment instrument. </w:t>
      </w:r>
    </w:p>
    <w:p w:rsidR="00193974" w:rsidRPr="007625BD" w:rsidRDefault="00193974" w:rsidP="00193974">
      <w:pPr>
        <w:jc w:val="both"/>
        <w:rPr>
          <w:rFonts w:cs="Arial"/>
        </w:rPr>
      </w:pPr>
    </w:p>
    <w:p w:rsidR="00193974" w:rsidRPr="007625BD" w:rsidRDefault="00193974" w:rsidP="00193974">
      <w:pPr>
        <w:jc w:val="both"/>
        <w:rPr>
          <w:rFonts w:cs="Arial"/>
        </w:rPr>
      </w:pPr>
      <w:r w:rsidRPr="007625BD">
        <w:rPr>
          <w:rFonts w:cs="Arial"/>
        </w:rPr>
        <w:t xml:space="preserve">The derivatives offered are either options or futures.  Both instruments give Investors the right to buy or sell financial instruments they may not hold. Equity derivatives are based on a single equity whilst Index derivatives are based on the entire market or specific segment. </w:t>
      </w:r>
    </w:p>
    <w:p w:rsidR="00193974" w:rsidRPr="007625BD" w:rsidRDefault="00193974" w:rsidP="00193974">
      <w:pPr>
        <w:jc w:val="both"/>
        <w:rPr>
          <w:rFonts w:cs="Arial"/>
        </w:rPr>
      </w:pPr>
    </w:p>
    <w:p w:rsidR="00193974" w:rsidRPr="007625BD" w:rsidRDefault="00193974" w:rsidP="00193974">
      <w:pPr>
        <w:jc w:val="both"/>
        <w:rPr>
          <w:rFonts w:cs="Arial"/>
        </w:rPr>
      </w:pPr>
      <w:r w:rsidRPr="007625BD">
        <w:rPr>
          <w:rFonts w:cs="Arial"/>
        </w:rPr>
        <w:t>A futures contract is a standardised contract that calls for the delivery of a specific quantity of a specific item at some time in the future at a predetermined price. Futures carry a very high risk of substantial loss.</w:t>
      </w:r>
    </w:p>
    <w:p w:rsidR="00193974" w:rsidRPr="007625BD" w:rsidRDefault="00193974" w:rsidP="00193974">
      <w:pPr>
        <w:jc w:val="both"/>
        <w:rPr>
          <w:rFonts w:cs="Arial"/>
        </w:rPr>
      </w:pPr>
    </w:p>
    <w:p w:rsidR="00193974" w:rsidRPr="007625BD" w:rsidRDefault="00193974" w:rsidP="00193974">
      <w:pPr>
        <w:jc w:val="both"/>
        <w:rPr>
          <w:rFonts w:cs="Arial"/>
        </w:rPr>
      </w:pPr>
      <w:r w:rsidRPr="007625BD">
        <w:rPr>
          <w:rFonts w:cs="Arial"/>
        </w:rPr>
        <w:t>Options are a flexible instrument.  The option buyer (holder) purchases the right (but not the obligation) to buy/sell equities of an underlying stock at a predetermined price from/to the option seller (writer) within a fixed period of time.  The writer of an option may establish a strategy to place existing holdings at risk of being sold at a set price in exchange for the additional premium.  This is a strategy that is a classic precedent for enhancing income returns.  The most frequently traded option style is the “American style” (meaning they may be exercised at any time up to and including the expiration date).</w:t>
      </w:r>
    </w:p>
    <w:p w:rsidR="00193974" w:rsidRPr="007625BD" w:rsidRDefault="00193974" w:rsidP="00193974">
      <w:pPr>
        <w:jc w:val="both"/>
        <w:rPr>
          <w:rFonts w:cs="Arial"/>
        </w:rPr>
      </w:pPr>
    </w:p>
    <w:p w:rsidR="00193974" w:rsidRPr="007625BD" w:rsidRDefault="00193974" w:rsidP="00193974">
      <w:pPr>
        <w:jc w:val="both"/>
        <w:rPr>
          <w:rFonts w:cs="Arial"/>
        </w:rPr>
      </w:pPr>
      <w:r w:rsidRPr="007625BD">
        <w:rPr>
          <w:rFonts w:cs="Arial"/>
        </w:rPr>
        <w:t>Key Features:</w:t>
      </w:r>
    </w:p>
    <w:p w:rsidR="00193974" w:rsidRPr="00F85F67" w:rsidRDefault="00193974" w:rsidP="00193974">
      <w:pPr>
        <w:pStyle w:val="ListParagraph"/>
        <w:numPr>
          <w:ilvl w:val="0"/>
          <w:numId w:val="1"/>
        </w:numPr>
        <w:jc w:val="both"/>
        <w:rPr>
          <w:rFonts w:cs="Arial"/>
        </w:rPr>
      </w:pPr>
      <w:r w:rsidRPr="00F85F67">
        <w:rPr>
          <w:rFonts w:cs="Arial"/>
        </w:rPr>
        <w:t>Direct access to product investments not easily available by other means.</w:t>
      </w:r>
    </w:p>
    <w:p w:rsidR="00193974" w:rsidRPr="00F85F67" w:rsidRDefault="00193974" w:rsidP="00193974">
      <w:pPr>
        <w:pStyle w:val="ListParagraph"/>
        <w:numPr>
          <w:ilvl w:val="0"/>
          <w:numId w:val="1"/>
        </w:numPr>
        <w:jc w:val="both"/>
        <w:rPr>
          <w:rFonts w:cs="Arial"/>
        </w:rPr>
      </w:pPr>
      <w:r w:rsidRPr="00F85F67">
        <w:rPr>
          <w:rFonts w:cs="Arial"/>
        </w:rPr>
        <w:t xml:space="preserve">A variety of flexible, investment strategies may be deployed using derivatives. </w:t>
      </w:r>
    </w:p>
    <w:p w:rsidR="00193974" w:rsidRPr="00F85F67" w:rsidRDefault="00193974" w:rsidP="00193974">
      <w:pPr>
        <w:pStyle w:val="ListParagraph"/>
        <w:numPr>
          <w:ilvl w:val="0"/>
          <w:numId w:val="1"/>
        </w:numPr>
        <w:jc w:val="both"/>
        <w:rPr>
          <w:rFonts w:cs="Arial"/>
        </w:rPr>
      </w:pPr>
      <w:r w:rsidRPr="00F85F67">
        <w:rPr>
          <w:rFonts w:cs="Arial"/>
        </w:rPr>
        <w:t>Income enhancement where the underlying is held, without immediately selling the underlying.</w:t>
      </w:r>
    </w:p>
    <w:p w:rsidR="00193974" w:rsidRPr="00F85F67" w:rsidRDefault="00193974" w:rsidP="00193974">
      <w:pPr>
        <w:pStyle w:val="ListParagraph"/>
        <w:numPr>
          <w:ilvl w:val="0"/>
          <w:numId w:val="1"/>
        </w:numPr>
        <w:jc w:val="both"/>
        <w:rPr>
          <w:rFonts w:cs="Arial"/>
        </w:rPr>
      </w:pPr>
      <w:r w:rsidRPr="00F85F67">
        <w:rPr>
          <w:rFonts w:cs="Arial"/>
        </w:rPr>
        <w:t>Leverage.</w:t>
      </w:r>
    </w:p>
    <w:p w:rsidR="00193974" w:rsidRPr="00F85F67" w:rsidRDefault="00193974" w:rsidP="00193974">
      <w:pPr>
        <w:pStyle w:val="ListParagraph"/>
        <w:numPr>
          <w:ilvl w:val="0"/>
          <w:numId w:val="1"/>
        </w:numPr>
        <w:jc w:val="both"/>
        <w:rPr>
          <w:rFonts w:cs="Arial"/>
        </w:rPr>
      </w:pPr>
      <w:r w:rsidRPr="00F85F67">
        <w:rPr>
          <w:rFonts w:cs="Arial"/>
        </w:rPr>
        <w:t>May be used in conjunction with other services offered.</w:t>
      </w:r>
    </w:p>
    <w:p w:rsidR="00193974" w:rsidRPr="007625BD" w:rsidRDefault="00193974" w:rsidP="00193974">
      <w:pPr>
        <w:jc w:val="both"/>
        <w:rPr>
          <w:rFonts w:cs="Arial"/>
        </w:rPr>
      </w:pPr>
    </w:p>
    <w:p w:rsidR="00193974" w:rsidRPr="007625BD" w:rsidRDefault="00193974" w:rsidP="00193974">
      <w:pPr>
        <w:jc w:val="both"/>
        <w:rPr>
          <w:rFonts w:cs="Arial"/>
        </w:rPr>
      </w:pPr>
      <w:r w:rsidRPr="007625BD">
        <w:rPr>
          <w:rFonts w:cs="Arial"/>
        </w:rPr>
        <w:t>Key Risks:</w:t>
      </w:r>
    </w:p>
    <w:p w:rsidR="00193974" w:rsidRPr="00F85F67" w:rsidRDefault="00193974" w:rsidP="00193974">
      <w:pPr>
        <w:pStyle w:val="ListParagraph"/>
        <w:numPr>
          <w:ilvl w:val="0"/>
          <w:numId w:val="2"/>
        </w:numPr>
        <w:jc w:val="both"/>
        <w:rPr>
          <w:rFonts w:cs="Arial"/>
        </w:rPr>
      </w:pPr>
      <w:r w:rsidRPr="00F85F67">
        <w:rPr>
          <w:rFonts w:cs="Arial"/>
        </w:rPr>
        <w:t xml:space="preserve">Equity &amp; Index derivatives are leveraged products and carry a high degree of risk to your capital.  </w:t>
      </w:r>
    </w:p>
    <w:p w:rsidR="00193974" w:rsidRPr="00F85F67" w:rsidRDefault="00193974" w:rsidP="00193974">
      <w:pPr>
        <w:pStyle w:val="ListParagraph"/>
        <w:numPr>
          <w:ilvl w:val="0"/>
          <w:numId w:val="2"/>
        </w:numPr>
        <w:jc w:val="both"/>
        <w:rPr>
          <w:rFonts w:cs="Arial"/>
        </w:rPr>
      </w:pPr>
      <w:r w:rsidRPr="00F85F67">
        <w:rPr>
          <w:rFonts w:cs="Arial"/>
        </w:rPr>
        <w:t xml:space="preserve">It is possible to lose more than your initial investment. </w:t>
      </w:r>
    </w:p>
    <w:p w:rsidR="00193974" w:rsidRPr="00F85F67" w:rsidRDefault="00193974" w:rsidP="00193974">
      <w:pPr>
        <w:pStyle w:val="ListParagraph"/>
        <w:numPr>
          <w:ilvl w:val="0"/>
          <w:numId w:val="2"/>
        </w:numPr>
        <w:jc w:val="both"/>
        <w:rPr>
          <w:rFonts w:cs="Arial"/>
        </w:rPr>
      </w:pPr>
      <w:r w:rsidRPr="00F85F67">
        <w:rPr>
          <w:rFonts w:cs="Arial"/>
        </w:rPr>
        <w:t xml:space="preserve">Only speculate with money you can afford to lose.  </w:t>
      </w:r>
    </w:p>
    <w:p w:rsidR="00193974" w:rsidRDefault="00193974" w:rsidP="00193974">
      <w:pPr>
        <w:pStyle w:val="ListParagraph"/>
        <w:numPr>
          <w:ilvl w:val="0"/>
          <w:numId w:val="2"/>
        </w:numPr>
        <w:jc w:val="both"/>
        <w:rPr>
          <w:rFonts w:cs="Arial"/>
        </w:rPr>
      </w:pPr>
      <w:r w:rsidRPr="00F85F67">
        <w:rPr>
          <w:rFonts w:cs="Arial"/>
        </w:rPr>
        <w:t xml:space="preserve">These products may not be suitable for all Investors, therefore, ensure you fully understand the risks involved and seek additional advice if necessary. </w:t>
      </w:r>
    </w:p>
    <w:p w:rsidR="00193974" w:rsidRPr="00F85F67" w:rsidRDefault="00193974" w:rsidP="00193974">
      <w:pPr>
        <w:pStyle w:val="ListParagraph"/>
        <w:numPr>
          <w:ilvl w:val="0"/>
          <w:numId w:val="2"/>
        </w:numPr>
        <w:jc w:val="both"/>
        <w:rPr>
          <w:rFonts w:cs="Arial"/>
        </w:rPr>
      </w:pPr>
      <w:r w:rsidRPr="00F85F67">
        <w:rPr>
          <w:rFonts w:cs="Arial"/>
        </w:rPr>
        <w:t>Past performance is not necessarily a guide to future performance.</w:t>
      </w:r>
    </w:p>
    <w:p w:rsidR="00193974" w:rsidRPr="007625BD" w:rsidRDefault="00193974" w:rsidP="00193974">
      <w:pPr>
        <w:jc w:val="both"/>
        <w:rPr>
          <w:rFonts w:cs="Arial"/>
        </w:rPr>
      </w:pPr>
    </w:p>
    <w:p w:rsidR="00193974" w:rsidRPr="007625BD" w:rsidRDefault="00193974" w:rsidP="00193974">
      <w:pPr>
        <w:jc w:val="both"/>
        <w:rPr>
          <w:rFonts w:cs="Arial"/>
        </w:rPr>
      </w:pPr>
      <w:r w:rsidRPr="007625BD">
        <w:rPr>
          <w:rFonts w:cs="Arial"/>
        </w:rPr>
        <w:t>Associated Services:</w:t>
      </w:r>
    </w:p>
    <w:p w:rsidR="00193974" w:rsidRPr="00F85F67" w:rsidRDefault="00193974" w:rsidP="00193974">
      <w:pPr>
        <w:pStyle w:val="ListParagraph"/>
        <w:numPr>
          <w:ilvl w:val="0"/>
          <w:numId w:val="3"/>
        </w:numPr>
        <w:jc w:val="both"/>
        <w:rPr>
          <w:rFonts w:cs="Arial"/>
        </w:rPr>
      </w:pPr>
      <w:r w:rsidRPr="00F85F67">
        <w:rPr>
          <w:rFonts w:cs="Arial"/>
        </w:rPr>
        <w:t>Investment Management Services – Discretionary.</w:t>
      </w:r>
    </w:p>
    <w:p w:rsidR="00193974" w:rsidRPr="00F85F67" w:rsidRDefault="00193974" w:rsidP="00193974">
      <w:pPr>
        <w:pStyle w:val="ListParagraph"/>
        <w:numPr>
          <w:ilvl w:val="0"/>
          <w:numId w:val="3"/>
        </w:numPr>
        <w:jc w:val="both"/>
        <w:rPr>
          <w:rFonts w:cs="Arial"/>
        </w:rPr>
      </w:pPr>
      <w:r w:rsidRPr="00F85F67">
        <w:rPr>
          <w:rFonts w:cs="Arial"/>
        </w:rPr>
        <w:t>Advisory Dealing.</w:t>
      </w:r>
    </w:p>
    <w:p w:rsidR="00193974" w:rsidRPr="00F85F67" w:rsidRDefault="00193974" w:rsidP="00193974">
      <w:pPr>
        <w:pStyle w:val="ListParagraph"/>
        <w:numPr>
          <w:ilvl w:val="0"/>
          <w:numId w:val="3"/>
        </w:numPr>
        <w:jc w:val="both"/>
        <w:rPr>
          <w:rFonts w:cs="Arial"/>
        </w:rPr>
      </w:pPr>
      <w:r w:rsidRPr="00F85F67">
        <w:rPr>
          <w:rFonts w:cs="Arial"/>
        </w:rPr>
        <w:t>Independent SIPP Investment Management.</w:t>
      </w:r>
    </w:p>
    <w:p w:rsidR="00193974" w:rsidRPr="007625BD" w:rsidRDefault="00193974" w:rsidP="00193974">
      <w:pPr>
        <w:jc w:val="both"/>
        <w:rPr>
          <w:rFonts w:cs="Arial"/>
        </w:rPr>
      </w:pPr>
    </w:p>
    <w:p w:rsidR="00193974" w:rsidRPr="007625BD" w:rsidRDefault="00193974" w:rsidP="00193974">
      <w:pPr>
        <w:jc w:val="both"/>
        <w:rPr>
          <w:rFonts w:cs="Arial"/>
        </w:rPr>
      </w:pPr>
      <w:r w:rsidRPr="007625BD">
        <w:rPr>
          <w:rFonts w:cs="Arial"/>
        </w:rPr>
        <w:t xml:space="preserve">For a confidential discussion please contact us on: +44 (0)20 7549 </w:t>
      </w:r>
      <w:proofErr w:type="gramStart"/>
      <w:r w:rsidRPr="007625BD">
        <w:rPr>
          <w:rFonts w:cs="Arial"/>
        </w:rPr>
        <w:t>3578  or</w:t>
      </w:r>
      <w:proofErr w:type="gramEnd"/>
      <w:r w:rsidRPr="007625BD">
        <w:rPr>
          <w:rFonts w:cs="Arial"/>
        </w:rPr>
        <w:t xml:space="preserve"> via our website </w:t>
      </w:r>
      <w:hyperlink r:id="rId8" w:history="1">
        <w:r w:rsidRPr="007625BD">
          <w:rPr>
            <w:rStyle w:val="Hyperlink"/>
            <w:rFonts w:cs="Arial"/>
          </w:rPr>
          <w:t>www.azpur.com</w:t>
        </w:r>
      </w:hyperlink>
      <w:r w:rsidRPr="007625BD">
        <w:rPr>
          <w:rFonts w:cs="Arial"/>
        </w:rPr>
        <w:t>.</w:t>
      </w:r>
    </w:p>
    <w:p w:rsidR="00193974" w:rsidRPr="007625BD" w:rsidRDefault="00193974" w:rsidP="00193974">
      <w:pPr>
        <w:jc w:val="both"/>
        <w:rPr>
          <w:rFonts w:cs="Arial"/>
        </w:rPr>
      </w:pPr>
    </w:p>
    <w:p w:rsidR="00193974" w:rsidRPr="007625BD" w:rsidRDefault="00193974" w:rsidP="00193974">
      <w:pPr>
        <w:jc w:val="both"/>
        <w:rPr>
          <w:rFonts w:cs="Arial"/>
        </w:rPr>
      </w:pPr>
      <w:r w:rsidRPr="007625BD">
        <w:rPr>
          <w:rFonts w:cs="Arial"/>
        </w:rPr>
        <w:t>Disclaimer:</w:t>
      </w:r>
    </w:p>
    <w:p w:rsidR="00193974" w:rsidRPr="007625BD" w:rsidRDefault="00193974" w:rsidP="00193974">
      <w:pPr>
        <w:jc w:val="both"/>
        <w:rPr>
          <w:rFonts w:cs="Arial"/>
        </w:rPr>
      </w:pPr>
      <w:r w:rsidRPr="007625BD">
        <w:rPr>
          <w:rFonts w:cs="Arial"/>
        </w:rPr>
        <w:lastRenderedPageBreak/>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193974" w:rsidRPr="007625BD" w:rsidRDefault="00193974" w:rsidP="00193974">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proofErr w:type="gramEnd"/>
    </w:p>
    <w:sectPr w:rsidR="00193974" w:rsidRPr="007625BD"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25D" w:rsidRDefault="0060125D" w:rsidP="00680BA3">
      <w:r>
        <w:separator/>
      </w:r>
    </w:p>
  </w:endnote>
  <w:endnote w:type="continuationSeparator" w:id="0">
    <w:p w:rsidR="0060125D" w:rsidRDefault="0060125D"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25D" w:rsidRDefault="0060125D" w:rsidP="00680BA3">
      <w:r>
        <w:separator/>
      </w:r>
    </w:p>
  </w:footnote>
  <w:footnote w:type="continuationSeparator" w:id="0">
    <w:p w:rsidR="0060125D" w:rsidRDefault="0060125D"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17E2D"/>
    <w:multiLevelType w:val="hybridMultilevel"/>
    <w:tmpl w:val="D4FA3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B300773"/>
    <w:multiLevelType w:val="hybridMultilevel"/>
    <w:tmpl w:val="03C05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9EA4681"/>
    <w:multiLevelType w:val="hybridMultilevel"/>
    <w:tmpl w:val="FF506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193974"/>
    <w:rsid w:val="00193974"/>
    <w:rsid w:val="003B1993"/>
    <w:rsid w:val="0060125D"/>
    <w:rsid w:val="00680BA3"/>
    <w:rsid w:val="008C4110"/>
    <w:rsid w:val="009E4D4F"/>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9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193974"/>
    <w:pPr>
      <w:ind w:left="720"/>
      <w:contextualSpacing/>
    </w:pPr>
  </w:style>
  <w:style w:type="character" w:styleId="Hyperlink">
    <w:name w:val="Hyperlink"/>
    <w:basedOn w:val="DefaultParagraphFont"/>
    <w:uiPriority w:val="99"/>
    <w:unhideWhenUsed/>
    <w:rsid w:val="001939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9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193974"/>
    <w:pPr>
      <w:ind w:left="720"/>
      <w:contextualSpacing/>
    </w:pPr>
  </w:style>
  <w:style w:type="character" w:styleId="Hyperlink">
    <w:name w:val="Hyperlink"/>
    <w:basedOn w:val="DefaultParagraphFont"/>
    <w:uiPriority w:val="99"/>
    <w:unhideWhenUsed/>
    <w:rsid w:val="00193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1</TotalTime>
  <Pages>2</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1</cp:revision>
  <dcterms:created xsi:type="dcterms:W3CDTF">2014-01-20T22:10:00Z</dcterms:created>
  <dcterms:modified xsi:type="dcterms:W3CDTF">2014-01-20T23:08:00Z</dcterms:modified>
</cp:coreProperties>
</file>